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9817" w14:textId="77777777" w:rsidR="002E4A06" w:rsidRPr="00BE42B2" w:rsidRDefault="002E4A06" w:rsidP="00D6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BE42B2">
        <w:rPr>
          <w:rFonts w:ascii="Calibri" w:hAnsi="Calibri" w:cs="Calibri"/>
          <w:b/>
          <w:bCs/>
          <w:i/>
          <w:iCs/>
          <w:sz w:val="24"/>
          <w:szCs w:val="24"/>
        </w:rPr>
        <w:t>LBMA Assaying and Refining Conference Abstract Template</w:t>
      </w:r>
    </w:p>
    <w:p w14:paraId="3780AB57" w14:textId="0EABBD44" w:rsidR="008949A6" w:rsidRPr="00BE42B2" w:rsidRDefault="002E4A06" w:rsidP="00D6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E42B2">
        <w:rPr>
          <w:i/>
          <w:iCs/>
        </w:rPr>
        <w:t>The recommended format and layout for the preparation of abstracts</w:t>
      </w:r>
      <w:r w:rsidR="00BC1E67">
        <w:rPr>
          <w:i/>
          <w:iCs/>
        </w:rPr>
        <w:t xml:space="preserve"> </w:t>
      </w:r>
      <w:r w:rsidRPr="00BE42B2">
        <w:rPr>
          <w:i/>
          <w:iCs/>
        </w:rPr>
        <w:t>submitted for the Conference are illustrated below</w:t>
      </w:r>
      <w:r w:rsidR="00BC1E67">
        <w:rPr>
          <w:i/>
          <w:iCs/>
        </w:rPr>
        <w:t>.</w:t>
      </w:r>
    </w:p>
    <w:p w14:paraId="0A608359" w14:textId="77777777" w:rsidR="008949A6" w:rsidRPr="00BE42B2" w:rsidRDefault="008949A6" w:rsidP="00D6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E42B2">
        <w:rPr>
          <w:i/>
          <w:iCs/>
        </w:rPr>
        <w:t>Page size: A4</w:t>
      </w:r>
    </w:p>
    <w:p w14:paraId="22186062" w14:textId="6D41A4E9" w:rsidR="002E4A06" w:rsidRPr="00BE42B2" w:rsidRDefault="008949A6" w:rsidP="00D62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E42B2">
        <w:rPr>
          <w:i/>
          <w:iCs/>
        </w:rPr>
        <w:t>Margins: 2.5 cm, top and bottom; left and right</w:t>
      </w:r>
      <w:r w:rsidR="002E4A06" w:rsidRPr="00BE42B2">
        <w:rPr>
          <w:i/>
          <w:iCs/>
        </w:rPr>
        <w:t xml:space="preserve">. </w:t>
      </w:r>
    </w:p>
    <w:p w14:paraId="0DC31E42" w14:textId="39D0FBC0" w:rsidR="00BE42B2" w:rsidRDefault="00BC1E67" w:rsidP="00D62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pt-PT"/>
        </w:rPr>
      </w:pPr>
      <w:r>
        <w:rPr>
          <w:i/>
          <w:iCs/>
          <w:lang w:val="pt-PT"/>
        </w:rPr>
        <w:t>U</w:t>
      </w:r>
      <w:r w:rsidR="00BE42B2" w:rsidRPr="00BE42B2">
        <w:rPr>
          <w:i/>
          <w:iCs/>
          <w:lang w:val="pt-PT"/>
        </w:rPr>
        <w:t>se th</w:t>
      </w:r>
      <w:r>
        <w:rPr>
          <w:i/>
          <w:iCs/>
          <w:lang w:val="pt-PT"/>
        </w:rPr>
        <w:t>e font styles</w:t>
      </w:r>
      <w:r w:rsidR="00BE42B2" w:rsidRPr="00BE42B2">
        <w:rPr>
          <w:i/>
          <w:iCs/>
          <w:lang w:val="pt-PT"/>
        </w:rPr>
        <w:t xml:space="preserve"> included in this template</w:t>
      </w:r>
      <w:r>
        <w:rPr>
          <w:i/>
          <w:iCs/>
          <w:lang w:val="pt-PT"/>
        </w:rPr>
        <w:t xml:space="preserve"> for titles, author name, company name, contact information, and abstract body.</w:t>
      </w:r>
    </w:p>
    <w:p w14:paraId="6E79BD60" w14:textId="5485DFDB" w:rsidR="00D62289" w:rsidRPr="00BE42B2" w:rsidRDefault="00D62289" w:rsidP="00D6228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lang w:val="pt-PT"/>
        </w:rPr>
      </w:pPr>
      <w:r>
        <w:rPr>
          <w:i/>
          <w:iCs/>
          <w:lang w:val="pt-PT"/>
        </w:rPr>
        <w:t>Please include “LBMA</w:t>
      </w:r>
      <w:r w:rsidR="001C4D17">
        <w:rPr>
          <w:i/>
          <w:iCs/>
          <w:lang w:val="pt-PT"/>
        </w:rPr>
        <w:t xml:space="preserve"> A</w:t>
      </w:r>
      <w:r w:rsidR="00224898">
        <w:rPr>
          <w:i/>
          <w:iCs/>
          <w:lang w:val="pt-PT"/>
        </w:rPr>
        <w:t>_</w:t>
      </w:r>
      <w:r w:rsidR="001C4D17">
        <w:rPr>
          <w:i/>
          <w:iCs/>
          <w:lang w:val="pt-PT"/>
        </w:rPr>
        <w:t>R 202</w:t>
      </w:r>
      <w:r w:rsidR="00596ED1">
        <w:rPr>
          <w:i/>
          <w:iCs/>
          <w:lang w:val="pt-PT"/>
        </w:rPr>
        <w:t>7</w:t>
      </w:r>
      <w:r w:rsidR="001C4D17">
        <w:rPr>
          <w:i/>
          <w:iCs/>
          <w:lang w:val="pt-PT"/>
        </w:rPr>
        <w:t>” and the author’s name in the file name.</w:t>
      </w:r>
    </w:p>
    <w:p w14:paraId="68818A64" w14:textId="77777777" w:rsidR="002E4A06" w:rsidRPr="00216280" w:rsidRDefault="002E4A06" w:rsidP="00841486">
      <w:pPr>
        <w:pStyle w:val="Heading1"/>
        <w:jc w:val="center"/>
      </w:pPr>
      <w:r w:rsidRPr="00216280">
        <w:t>A review of the TC 174 current &amp; future work</w:t>
      </w:r>
    </w:p>
    <w:p w14:paraId="42763723" w14:textId="012C2273" w:rsidR="002E4A06" w:rsidRPr="00762F7F" w:rsidRDefault="00DE67EB" w:rsidP="00841486">
      <w:pPr>
        <w:pStyle w:val="Heading2"/>
        <w:jc w:val="center"/>
      </w:pPr>
      <w:r>
        <w:t>Sample Name</w:t>
      </w:r>
    </w:p>
    <w:p w14:paraId="4C2E2204" w14:textId="3F750C7A" w:rsidR="002E4A06" w:rsidRPr="006261CD" w:rsidRDefault="00DE67EB" w:rsidP="00841486">
      <w:pPr>
        <w:pStyle w:val="Heading3"/>
        <w:jc w:val="center"/>
      </w:pPr>
      <w:r>
        <w:t>Sample Address</w:t>
      </w:r>
    </w:p>
    <w:p w14:paraId="20DBC74D" w14:textId="0479FC49" w:rsidR="002E4A06" w:rsidRPr="009A2AA6" w:rsidRDefault="002E4A06" w:rsidP="00841486">
      <w:pPr>
        <w:pStyle w:val="Heading4"/>
        <w:jc w:val="center"/>
      </w:pPr>
      <w:r>
        <w:rPr>
          <w:lang w:val="en-US"/>
        </w:rPr>
        <w:t>+</w:t>
      </w:r>
      <w:r w:rsidR="00DE67EB">
        <w:rPr>
          <w:lang w:val="en-US"/>
        </w:rPr>
        <w:t>44 01234 567890</w:t>
      </w:r>
      <w:r>
        <w:rPr>
          <w:lang w:val="en-US"/>
        </w:rPr>
        <w:t xml:space="preserve">, </w:t>
      </w:r>
      <w:r w:rsidR="00DE67EB">
        <w:rPr>
          <w:lang w:val="en-US"/>
        </w:rPr>
        <w:t>samplename</w:t>
      </w:r>
      <w:r>
        <w:rPr>
          <w:lang w:val="en-US"/>
        </w:rPr>
        <w:t>@</w:t>
      </w:r>
      <w:r w:rsidR="00DE67EB">
        <w:rPr>
          <w:lang w:val="en-US"/>
        </w:rPr>
        <w:t>company</w:t>
      </w:r>
      <w:r>
        <w:rPr>
          <w:lang w:val="en-US"/>
        </w:rPr>
        <w:t>.com</w:t>
      </w:r>
    </w:p>
    <w:p w14:paraId="2A799244" w14:textId="77777777" w:rsidR="002E4A06" w:rsidRPr="009A2AA6" w:rsidRDefault="002E4A06" w:rsidP="00841486">
      <w:pPr>
        <w:jc w:val="center"/>
        <w:rPr>
          <w:rFonts w:ascii="Calibri" w:hAnsi="Calibri" w:cs="Calibri"/>
          <w:i/>
        </w:rPr>
      </w:pPr>
    </w:p>
    <w:p w14:paraId="14ED0483" w14:textId="77777777" w:rsidR="002E4A06" w:rsidRPr="00AD03FB" w:rsidRDefault="002E4A06" w:rsidP="004B2DA4">
      <w:pPr>
        <w:pStyle w:val="BodyText"/>
      </w:pPr>
      <w:r w:rsidRPr="00AD03FB">
        <w:t xml:space="preserve">ISO technical committee TC 174 </w:t>
      </w:r>
      <w:proofErr w:type="gramStart"/>
      <w:r w:rsidRPr="00AD03FB">
        <w:t>is in charge of</w:t>
      </w:r>
      <w:proofErr w:type="gramEnd"/>
      <w:r w:rsidRPr="00AD03FB">
        <w:t xml:space="preserve"> drafting and maintaining standards in the field of jewellery and precious metals. Historically, this committee was focusing on technical and analytical standards, and a couple of them have been updated recently, including:</w:t>
      </w:r>
    </w:p>
    <w:p w14:paraId="63D2C5D8" w14:textId="77777777" w:rsidR="002E4A06" w:rsidRPr="00AD03FB" w:rsidRDefault="002E4A06" w:rsidP="008949A6">
      <w:pPr>
        <w:pStyle w:val="BodySingle"/>
        <w:numPr>
          <w:ilvl w:val="0"/>
          <w:numId w:val="5"/>
        </w:numPr>
      </w:pPr>
      <w:r w:rsidRPr="00AD03FB">
        <w:t>ISO 15093 &amp; 15096 for ICP-OES trace analyses of Au, Ag, Pt &amp; Pd</w:t>
      </w:r>
    </w:p>
    <w:p w14:paraId="27FCC869" w14:textId="77777777" w:rsidR="002E4A06" w:rsidRPr="00AD03FB" w:rsidRDefault="002E4A06" w:rsidP="008949A6">
      <w:pPr>
        <w:pStyle w:val="BodySingle"/>
        <w:numPr>
          <w:ilvl w:val="0"/>
          <w:numId w:val="5"/>
        </w:numPr>
      </w:pPr>
      <w:r w:rsidRPr="00AD03FB">
        <w:t>ISO 11494 &amp; 11495 for Pt and Pd determination by ICP-OES</w:t>
      </w:r>
    </w:p>
    <w:p w14:paraId="27A12EED" w14:textId="77777777" w:rsidR="002E4A06" w:rsidRPr="004452BE" w:rsidRDefault="002E4A06" w:rsidP="008949A6">
      <w:pPr>
        <w:pStyle w:val="BodySingle"/>
        <w:numPr>
          <w:ilvl w:val="0"/>
          <w:numId w:val="5"/>
        </w:numPr>
      </w:pPr>
      <w:r w:rsidRPr="004452BE">
        <w:t>ISO 11426 for cupellation</w:t>
      </w:r>
    </w:p>
    <w:p w14:paraId="6D91F836" w14:textId="77777777" w:rsidR="002E4A06" w:rsidRPr="004452BE" w:rsidRDefault="002E4A06" w:rsidP="00965780">
      <w:pPr>
        <w:pStyle w:val="BodyText"/>
      </w:pPr>
      <w:r w:rsidRPr="004452BE">
        <w:t>This paper will present the updates made on those standards, as well as share some of the interlaboratory testing performed.</w:t>
      </w:r>
    </w:p>
    <w:p w14:paraId="648958C4" w14:textId="77777777" w:rsidR="002E4A06" w:rsidRDefault="002E4A06" w:rsidP="00965780">
      <w:pPr>
        <w:pStyle w:val="BodyText"/>
      </w:pPr>
      <w:r w:rsidRPr="004452BE">
        <w:t xml:space="preserve">A new standard ISO 23345 is being finalized for the confirmation of jewellery fineness by ED-XRF. This method allows laboratories to readily confirm the title of a jewellery item with a non-destructive, semi-quantitative testing. It also </w:t>
      </w:r>
      <w:proofErr w:type="gramStart"/>
      <w:r w:rsidRPr="004452BE">
        <w:t>takes into account</w:t>
      </w:r>
      <w:proofErr w:type="gramEnd"/>
      <w:r w:rsidRPr="004452BE">
        <w:t xml:space="preserve"> the inherent uncertainty of the method (Figure 1). The precision of the method can be remarkable (Table 1).</w:t>
      </w:r>
    </w:p>
    <w:p w14:paraId="3C24DF1C" w14:textId="77777777" w:rsidR="002E4A06" w:rsidRPr="004452BE" w:rsidRDefault="002E4A06" w:rsidP="002E4A06">
      <w:pPr>
        <w:jc w:val="center"/>
        <w:rPr>
          <w:rFonts w:ascii="Calibri" w:hAnsi="Calibri" w:cs="Calibri"/>
          <w:bCs/>
        </w:rPr>
      </w:pPr>
      <w:r w:rsidRPr="00C44EC9">
        <w:rPr>
          <w:noProof/>
        </w:rPr>
        <w:drawing>
          <wp:inline distT="0" distB="0" distL="0" distR="0" wp14:anchorId="1DF9052B" wp14:editId="7548089A">
            <wp:extent cx="1919605" cy="1337554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" t="9923" r="41438" b="5804"/>
                    <a:stretch/>
                  </pic:blipFill>
                  <pic:spPr bwMode="auto">
                    <a:xfrm>
                      <a:off x="0" y="0"/>
                      <a:ext cx="1919605" cy="1337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FC4189" w14:textId="77777777" w:rsidR="002E4A06" w:rsidRPr="008949A6" w:rsidRDefault="002E4A06" w:rsidP="008949A6">
      <w:pPr>
        <w:pStyle w:val="Caption"/>
        <w:jc w:val="center"/>
      </w:pPr>
      <w:r w:rsidRPr="008949A6">
        <w:t>Figure 1 – XRF result evaluation</w:t>
      </w:r>
    </w:p>
    <w:p w14:paraId="5FEA8D09" w14:textId="77777777" w:rsidR="002E4A06" w:rsidRPr="004452BE" w:rsidRDefault="002E4A06" w:rsidP="002E4A06">
      <w:pPr>
        <w:jc w:val="both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693"/>
        <w:gridCol w:w="1856"/>
        <w:gridCol w:w="1418"/>
      </w:tblGrid>
      <w:tr w:rsidR="002E4A06" w:rsidRPr="004452BE" w14:paraId="35388CC5" w14:textId="77777777" w:rsidTr="008949A6">
        <w:trPr>
          <w:jc w:val="center"/>
        </w:trPr>
        <w:tc>
          <w:tcPr>
            <w:tcW w:w="2689" w:type="dxa"/>
            <w:vAlign w:val="center"/>
          </w:tcPr>
          <w:p w14:paraId="443172DA" w14:textId="77777777" w:rsidR="002E4A06" w:rsidRPr="006373ED" w:rsidRDefault="002E4A06" w:rsidP="00743B71">
            <w:pPr>
              <w:pStyle w:val="Heading1"/>
              <w:rPr>
                <w:sz w:val="20"/>
              </w:rPr>
            </w:pPr>
            <w:r w:rsidRPr="006373ED">
              <w:rPr>
                <w:sz w:val="20"/>
              </w:rPr>
              <w:t>Sample</w:t>
            </w:r>
          </w:p>
        </w:tc>
        <w:tc>
          <w:tcPr>
            <w:tcW w:w="1693" w:type="dxa"/>
            <w:vAlign w:val="center"/>
          </w:tcPr>
          <w:p w14:paraId="380FF435" w14:textId="77777777" w:rsidR="002E4A06" w:rsidRPr="006373ED" w:rsidRDefault="002E4A06" w:rsidP="00743B71">
            <w:pPr>
              <w:jc w:val="center"/>
              <w:rPr>
                <w:rFonts w:ascii="Calibri" w:hAnsi="Calibri" w:cs="Calibri"/>
                <w:sz w:val="20"/>
              </w:rPr>
            </w:pPr>
            <w:r w:rsidRPr="006373ED">
              <w:rPr>
                <w:rFonts w:ascii="Calibri" w:hAnsi="Calibri" w:cs="Calibri"/>
                <w:b/>
                <w:sz w:val="20"/>
              </w:rPr>
              <w:t>Reference [‰]</w:t>
            </w:r>
          </w:p>
        </w:tc>
        <w:tc>
          <w:tcPr>
            <w:tcW w:w="1856" w:type="dxa"/>
            <w:vAlign w:val="center"/>
          </w:tcPr>
          <w:p w14:paraId="57185504" w14:textId="77777777" w:rsidR="002E4A06" w:rsidRPr="006373ED" w:rsidRDefault="002E4A06" w:rsidP="00743B7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6373ED">
              <w:rPr>
                <w:rFonts w:ascii="Calibri" w:hAnsi="Calibri" w:cs="Calibri"/>
                <w:b/>
                <w:sz w:val="20"/>
              </w:rPr>
              <w:t>ED-XRF result [‰]</w:t>
            </w:r>
          </w:p>
        </w:tc>
        <w:tc>
          <w:tcPr>
            <w:tcW w:w="1418" w:type="dxa"/>
            <w:vAlign w:val="center"/>
          </w:tcPr>
          <w:p w14:paraId="5B826A65" w14:textId="77777777" w:rsidR="002E4A06" w:rsidRPr="006373ED" w:rsidRDefault="002E4A06" w:rsidP="00743B7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6373ED">
              <w:rPr>
                <w:rFonts w:ascii="Calibri" w:hAnsi="Calibri" w:cs="Calibri"/>
                <w:b/>
                <w:sz w:val="20"/>
              </w:rPr>
              <w:t>Uncertainty</w:t>
            </w:r>
          </w:p>
        </w:tc>
      </w:tr>
      <w:tr w:rsidR="002E4A06" w:rsidRPr="004452BE" w14:paraId="63EAA122" w14:textId="77777777" w:rsidTr="008949A6">
        <w:trPr>
          <w:jc w:val="center"/>
        </w:trPr>
        <w:tc>
          <w:tcPr>
            <w:tcW w:w="2689" w:type="dxa"/>
            <w:vAlign w:val="center"/>
          </w:tcPr>
          <w:p w14:paraId="557D2081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 xml:space="preserve">Au </w:t>
            </w:r>
            <w:proofErr w:type="gramStart"/>
            <w:r w:rsidRPr="004452BE">
              <w:rPr>
                <w:rFonts w:ascii="Calibri" w:hAnsi="Calibri" w:cs="Calibri"/>
                <w:sz w:val="18"/>
                <w:szCs w:val="18"/>
              </w:rPr>
              <w:t>750 :</w:t>
            </w:r>
            <w:proofErr w:type="gramEnd"/>
            <w:r w:rsidRPr="004452BE">
              <w:rPr>
                <w:rFonts w:ascii="Calibri" w:hAnsi="Calibri" w:cs="Calibri"/>
                <w:sz w:val="18"/>
                <w:szCs w:val="18"/>
              </w:rPr>
              <w:t xml:space="preserve"> Ag </w:t>
            </w:r>
            <w:proofErr w:type="gramStart"/>
            <w:r w:rsidRPr="004452BE">
              <w:rPr>
                <w:rFonts w:ascii="Calibri" w:hAnsi="Calibri" w:cs="Calibri"/>
                <w:sz w:val="18"/>
                <w:szCs w:val="18"/>
              </w:rPr>
              <w:t>125 :</w:t>
            </w:r>
            <w:proofErr w:type="gramEnd"/>
            <w:r w:rsidRPr="004452BE">
              <w:rPr>
                <w:rFonts w:ascii="Calibri" w:hAnsi="Calibri" w:cs="Calibri"/>
                <w:sz w:val="18"/>
                <w:szCs w:val="18"/>
              </w:rPr>
              <w:t xml:space="preserve"> Cu 125</w:t>
            </w:r>
          </w:p>
        </w:tc>
        <w:tc>
          <w:tcPr>
            <w:tcW w:w="1693" w:type="dxa"/>
            <w:vAlign w:val="center"/>
          </w:tcPr>
          <w:p w14:paraId="3C54E4E2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>753.60</w:t>
            </w:r>
          </w:p>
        </w:tc>
        <w:tc>
          <w:tcPr>
            <w:tcW w:w="1856" w:type="dxa"/>
          </w:tcPr>
          <w:p w14:paraId="1FDD7AC9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>753.38</w:t>
            </w:r>
          </w:p>
        </w:tc>
        <w:tc>
          <w:tcPr>
            <w:tcW w:w="1418" w:type="dxa"/>
          </w:tcPr>
          <w:p w14:paraId="0EBC2BD7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>-0.71 / +0.71</w:t>
            </w:r>
          </w:p>
        </w:tc>
      </w:tr>
      <w:tr w:rsidR="002E4A06" w:rsidRPr="004452BE" w14:paraId="41C657C9" w14:textId="77777777" w:rsidTr="008949A6">
        <w:trPr>
          <w:jc w:val="center"/>
        </w:trPr>
        <w:tc>
          <w:tcPr>
            <w:tcW w:w="2689" w:type="dxa"/>
            <w:vAlign w:val="center"/>
          </w:tcPr>
          <w:p w14:paraId="3B3480E0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 xml:space="preserve">Ag </w:t>
            </w:r>
            <w:proofErr w:type="gramStart"/>
            <w:r w:rsidRPr="004452BE">
              <w:rPr>
                <w:rFonts w:ascii="Calibri" w:hAnsi="Calibri" w:cs="Calibri"/>
                <w:sz w:val="18"/>
                <w:szCs w:val="18"/>
              </w:rPr>
              <w:t>910 :</w:t>
            </w:r>
            <w:proofErr w:type="gramEnd"/>
            <w:r w:rsidRPr="004452BE">
              <w:rPr>
                <w:rFonts w:ascii="Calibri" w:hAnsi="Calibri" w:cs="Calibri"/>
                <w:sz w:val="18"/>
                <w:szCs w:val="18"/>
              </w:rPr>
              <w:t xml:space="preserve"> Au </w:t>
            </w:r>
            <w:proofErr w:type="gramStart"/>
            <w:r w:rsidRPr="004452BE">
              <w:rPr>
                <w:rFonts w:ascii="Calibri" w:hAnsi="Calibri" w:cs="Calibri"/>
                <w:sz w:val="18"/>
                <w:szCs w:val="18"/>
              </w:rPr>
              <w:t>80 :</w:t>
            </w:r>
            <w:proofErr w:type="gramEnd"/>
            <w:r w:rsidRPr="004452BE">
              <w:rPr>
                <w:rFonts w:ascii="Calibri" w:hAnsi="Calibri" w:cs="Calibri"/>
                <w:sz w:val="18"/>
                <w:szCs w:val="18"/>
              </w:rPr>
              <w:t xml:space="preserve"> Pt </w:t>
            </w:r>
            <w:proofErr w:type="gramStart"/>
            <w:r w:rsidRPr="004452BE">
              <w:rPr>
                <w:rFonts w:ascii="Calibri" w:hAnsi="Calibri" w:cs="Calibri"/>
                <w:sz w:val="18"/>
                <w:szCs w:val="18"/>
              </w:rPr>
              <w:t>5 :</w:t>
            </w:r>
            <w:proofErr w:type="gramEnd"/>
            <w:r w:rsidRPr="004452BE">
              <w:rPr>
                <w:rFonts w:ascii="Calibri" w:hAnsi="Calibri" w:cs="Calibri"/>
                <w:sz w:val="18"/>
                <w:szCs w:val="18"/>
              </w:rPr>
              <w:t xml:space="preserve"> Pd 5</w:t>
            </w:r>
          </w:p>
        </w:tc>
        <w:tc>
          <w:tcPr>
            <w:tcW w:w="1693" w:type="dxa"/>
            <w:vAlign w:val="center"/>
          </w:tcPr>
          <w:p w14:paraId="6840DDF3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>906.77</w:t>
            </w:r>
          </w:p>
        </w:tc>
        <w:tc>
          <w:tcPr>
            <w:tcW w:w="1856" w:type="dxa"/>
          </w:tcPr>
          <w:p w14:paraId="1B8FA58C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>906.50</w:t>
            </w:r>
          </w:p>
        </w:tc>
        <w:tc>
          <w:tcPr>
            <w:tcW w:w="1418" w:type="dxa"/>
          </w:tcPr>
          <w:p w14:paraId="70CE9F68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>-1.97 / +2.47</w:t>
            </w:r>
          </w:p>
        </w:tc>
      </w:tr>
      <w:tr w:rsidR="002E4A06" w:rsidRPr="004452BE" w14:paraId="3F66E319" w14:textId="77777777" w:rsidTr="008949A6">
        <w:trPr>
          <w:jc w:val="center"/>
        </w:trPr>
        <w:tc>
          <w:tcPr>
            <w:tcW w:w="2689" w:type="dxa"/>
            <w:vAlign w:val="center"/>
          </w:tcPr>
          <w:p w14:paraId="71228F5C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 xml:space="preserve">Ag </w:t>
            </w:r>
            <w:proofErr w:type="gramStart"/>
            <w:r w:rsidRPr="004452BE">
              <w:rPr>
                <w:rFonts w:ascii="Calibri" w:hAnsi="Calibri" w:cs="Calibri"/>
                <w:sz w:val="18"/>
                <w:szCs w:val="18"/>
              </w:rPr>
              <w:t>925 :</w:t>
            </w:r>
            <w:proofErr w:type="gramEnd"/>
            <w:r w:rsidRPr="004452BE">
              <w:rPr>
                <w:rFonts w:ascii="Calibri" w:hAnsi="Calibri" w:cs="Calibri"/>
                <w:sz w:val="18"/>
                <w:szCs w:val="18"/>
              </w:rPr>
              <w:t xml:space="preserve"> Au </w:t>
            </w:r>
            <w:proofErr w:type="gramStart"/>
            <w:r w:rsidRPr="004452BE">
              <w:rPr>
                <w:rFonts w:ascii="Calibri" w:hAnsi="Calibri" w:cs="Calibri"/>
                <w:sz w:val="18"/>
                <w:szCs w:val="18"/>
              </w:rPr>
              <w:t>50 :</w:t>
            </w:r>
            <w:proofErr w:type="gramEnd"/>
            <w:r w:rsidRPr="004452BE">
              <w:rPr>
                <w:rFonts w:ascii="Calibri" w:hAnsi="Calibri" w:cs="Calibri"/>
                <w:sz w:val="18"/>
                <w:szCs w:val="18"/>
              </w:rPr>
              <w:t xml:space="preserve"> Pd </w:t>
            </w:r>
            <w:proofErr w:type="gramStart"/>
            <w:r w:rsidRPr="004452BE">
              <w:rPr>
                <w:rFonts w:ascii="Calibri" w:hAnsi="Calibri" w:cs="Calibri"/>
                <w:sz w:val="18"/>
                <w:szCs w:val="18"/>
              </w:rPr>
              <w:t>15 :</w:t>
            </w:r>
            <w:proofErr w:type="gramEnd"/>
            <w:r w:rsidRPr="004452BE">
              <w:rPr>
                <w:rFonts w:ascii="Calibri" w:hAnsi="Calibri" w:cs="Calibri"/>
                <w:sz w:val="18"/>
                <w:szCs w:val="18"/>
              </w:rPr>
              <w:t xml:space="preserve"> Pt 10</w:t>
            </w:r>
          </w:p>
        </w:tc>
        <w:tc>
          <w:tcPr>
            <w:tcW w:w="1693" w:type="dxa"/>
            <w:vAlign w:val="center"/>
          </w:tcPr>
          <w:p w14:paraId="55E2B85A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>922.41</w:t>
            </w:r>
          </w:p>
        </w:tc>
        <w:tc>
          <w:tcPr>
            <w:tcW w:w="1856" w:type="dxa"/>
          </w:tcPr>
          <w:p w14:paraId="75C73F51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>922.66</w:t>
            </w:r>
          </w:p>
        </w:tc>
        <w:tc>
          <w:tcPr>
            <w:tcW w:w="1418" w:type="dxa"/>
          </w:tcPr>
          <w:p w14:paraId="77D4F278" w14:textId="77777777" w:rsidR="002E4A06" w:rsidRPr="004452BE" w:rsidRDefault="002E4A06" w:rsidP="00743B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452BE">
              <w:rPr>
                <w:rFonts w:ascii="Calibri" w:hAnsi="Calibri" w:cs="Calibri"/>
                <w:sz w:val="18"/>
                <w:szCs w:val="18"/>
              </w:rPr>
              <w:t>- 1.82 / +1.33</w:t>
            </w:r>
          </w:p>
        </w:tc>
      </w:tr>
    </w:tbl>
    <w:p w14:paraId="69231982" w14:textId="3EDC8535" w:rsidR="002E4A06" w:rsidRPr="004452BE" w:rsidRDefault="002E4A06" w:rsidP="00841486">
      <w:pPr>
        <w:pStyle w:val="Caption"/>
        <w:jc w:val="center"/>
      </w:pPr>
      <w:r w:rsidRPr="004452BE">
        <w:t>Table 1 – Results obtained with ED-XRF (ISO 23345)</w:t>
      </w:r>
    </w:p>
    <w:p w14:paraId="76BD59DE" w14:textId="6D2D7ECA" w:rsidR="00115958" w:rsidRPr="00EE51D4" w:rsidRDefault="002E4A06" w:rsidP="00D62289">
      <w:r w:rsidRPr="002E4A06">
        <w:t xml:space="preserve">While gold kilobars are </w:t>
      </w:r>
      <w:r w:rsidRPr="004452BE">
        <w:t xml:space="preserve">the most important precious metal investment product, there is no market agreement on their specifications: no size requirement, no rules for markings and rounding, and even the composition is variable – for example SGE has a limit on specific impurities for 999.9‰ bars. </w:t>
      </w:r>
    </w:p>
    <w:sectPr w:rsidR="00115958" w:rsidRPr="00EE5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2527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4EC96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56229F"/>
    <w:multiLevelType w:val="hybridMultilevel"/>
    <w:tmpl w:val="CE52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747EE"/>
    <w:multiLevelType w:val="hybridMultilevel"/>
    <w:tmpl w:val="5C68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77D03"/>
    <w:multiLevelType w:val="hybridMultilevel"/>
    <w:tmpl w:val="5BEE4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770">
    <w:abstractNumId w:val="1"/>
  </w:num>
  <w:num w:numId="2" w16cid:durableId="866286671">
    <w:abstractNumId w:val="0"/>
  </w:num>
  <w:num w:numId="3" w16cid:durableId="273100032">
    <w:abstractNumId w:val="2"/>
  </w:num>
  <w:num w:numId="4" w16cid:durableId="2055616688">
    <w:abstractNumId w:val="3"/>
  </w:num>
  <w:num w:numId="5" w16cid:durableId="100008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654638B-AAB5-47E8-BCFA-FA657AD488BD}"/>
    <w:docVar w:name="dgnword-eventsink" w:val="1946684027360"/>
  </w:docVars>
  <w:rsids>
    <w:rsidRoot w:val="00BF5BC6"/>
    <w:rsid w:val="00006A81"/>
    <w:rsid w:val="0002312A"/>
    <w:rsid w:val="000274A7"/>
    <w:rsid w:val="00063D62"/>
    <w:rsid w:val="00067107"/>
    <w:rsid w:val="00076339"/>
    <w:rsid w:val="00081477"/>
    <w:rsid w:val="000822D3"/>
    <w:rsid w:val="00085A35"/>
    <w:rsid w:val="000864FF"/>
    <w:rsid w:val="000B3A0E"/>
    <w:rsid w:val="00104448"/>
    <w:rsid w:val="00115958"/>
    <w:rsid w:val="00116D00"/>
    <w:rsid w:val="00127265"/>
    <w:rsid w:val="001357B5"/>
    <w:rsid w:val="00167C5E"/>
    <w:rsid w:val="0017040B"/>
    <w:rsid w:val="001743A9"/>
    <w:rsid w:val="0018090A"/>
    <w:rsid w:val="00184137"/>
    <w:rsid w:val="001913F8"/>
    <w:rsid w:val="001A472C"/>
    <w:rsid w:val="001C4D17"/>
    <w:rsid w:val="001D3867"/>
    <w:rsid w:val="00204637"/>
    <w:rsid w:val="002202FC"/>
    <w:rsid w:val="00223E18"/>
    <w:rsid w:val="00224898"/>
    <w:rsid w:val="00225BA4"/>
    <w:rsid w:val="002410F5"/>
    <w:rsid w:val="002738F2"/>
    <w:rsid w:val="002B2059"/>
    <w:rsid w:val="002E06CF"/>
    <w:rsid w:val="002E4A06"/>
    <w:rsid w:val="003038C3"/>
    <w:rsid w:val="00335A60"/>
    <w:rsid w:val="00373076"/>
    <w:rsid w:val="00385A1D"/>
    <w:rsid w:val="00393C98"/>
    <w:rsid w:val="003E2DEF"/>
    <w:rsid w:val="00422115"/>
    <w:rsid w:val="0044198F"/>
    <w:rsid w:val="00441AF5"/>
    <w:rsid w:val="00441CCF"/>
    <w:rsid w:val="00443749"/>
    <w:rsid w:val="00454816"/>
    <w:rsid w:val="00455A05"/>
    <w:rsid w:val="004718B2"/>
    <w:rsid w:val="0048225D"/>
    <w:rsid w:val="0049388F"/>
    <w:rsid w:val="004B2DA4"/>
    <w:rsid w:val="004C611C"/>
    <w:rsid w:val="00545D18"/>
    <w:rsid w:val="00562750"/>
    <w:rsid w:val="005772BE"/>
    <w:rsid w:val="00586C1E"/>
    <w:rsid w:val="00596ED1"/>
    <w:rsid w:val="005B7CF8"/>
    <w:rsid w:val="005C6FDD"/>
    <w:rsid w:val="005D6FEE"/>
    <w:rsid w:val="00602516"/>
    <w:rsid w:val="006261CD"/>
    <w:rsid w:val="00645480"/>
    <w:rsid w:val="0068302E"/>
    <w:rsid w:val="006A5A3A"/>
    <w:rsid w:val="006F38E1"/>
    <w:rsid w:val="006F7AA6"/>
    <w:rsid w:val="007132E2"/>
    <w:rsid w:val="00752D28"/>
    <w:rsid w:val="00770EE8"/>
    <w:rsid w:val="0077287D"/>
    <w:rsid w:val="00775495"/>
    <w:rsid w:val="0078038F"/>
    <w:rsid w:val="007D741C"/>
    <w:rsid w:val="007E1A4E"/>
    <w:rsid w:val="007E5297"/>
    <w:rsid w:val="00801C29"/>
    <w:rsid w:val="00841486"/>
    <w:rsid w:val="00862EF4"/>
    <w:rsid w:val="0087402D"/>
    <w:rsid w:val="008815AB"/>
    <w:rsid w:val="00884480"/>
    <w:rsid w:val="008949A6"/>
    <w:rsid w:val="008B7E72"/>
    <w:rsid w:val="008D5CF4"/>
    <w:rsid w:val="008E1F3B"/>
    <w:rsid w:val="00907050"/>
    <w:rsid w:val="00945084"/>
    <w:rsid w:val="009450D0"/>
    <w:rsid w:val="00961E29"/>
    <w:rsid w:val="00965780"/>
    <w:rsid w:val="00972F15"/>
    <w:rsid w:val="00975CC1"/>
    <w:rsid w:val="009A4B3A"/>
    <w:rsid w:val="009A7559"/>
    <w:rsid w:val="009B1CC4"/>
    <w:rsid w:val="009B5640"/>
    <w:rsid w:val="00A22361"/>
    <w:rsid w:val="00A36BBF"/>
    <w:rsid w:val="00AC02C3"/>
    <w:rsid w:val="00AC2D2D"/>
    <w:rsid w:val="00AD03FB"/>
    <w:rsid w:val="00AF0413"/>
    <w:rsid w:val="00B1330F"/>
    <w:rsid w:val="00B5723F"/>
    <w:rsid w:val="00BA1E45"/>
    <w:rsid w:val="00BA39C2"/>
    <w:rsid w:val="00BC1E67"/>
    <w:rsid w:val="00BC7FC4"/>
    <w:rsid w:val="00BE42B2"/>
    <w:rsid w:val="00BF5BC6"/>
    <w:rsid w:val="00C16DA9"/>
    <w:rsid w:val="00C349F1"/>
    <w:rsid w:val="00C40732"/>
    <w:rsid w:val="00C60243"/>
    <w:rsid w:val="00C71FA3"/>
    <w:rsid w:val="00C8214C"/>
    <w:rsid w:val="00C83B39"/>
    <w:rsid w:val="00C95636"/>
    <w:rsid w:val="00D01F65"/>
    <w:rsid w:val="00D45DBB"/>
    <w:rsid w:val="00D57726"/>
    <w:rsid w:val="00D62289"/>
    <w:rsid w:val="00DB0798"/>
    <w:rsid w:val="00DB53E8"/>
    <w:rsid w:val="00DD495C"/>
    <w:rsid w:val="00DE67EB"/>
    <w:rsid w:val="00DF592D"/>
    <w:rsid w:val="00DF6B1A"/>
    <w:rsid w:val="00E02C87"/>
    <w:rsid w:val="00E22F54"/>
    <w:rsid w:val="00E26093"/>
    <w:rsid w:val="00E32568"/>
    <w:rsid w:val="00E64D74"/>
    <w:rsid w:val="00E6654E"/>
    <w:rsid w:val="00E914DC"/>
    <w:rsid w:val="00EE51D4"/>
    <w:rsid w:val="00F24675"/>
    <w:rsid w:val="00F30761"/>
    <w:rsid w:val="00F369C0"/>
    <w:rsid w:val="00F67500"/>
    <w:rsid w:val="00F90CB4"/>
    <w:rsid w:val="00F91311"/>
    <w:rsid w:val="00FA2C76"/>
    <w:rsid w:val="00FB61FA"/>
    <w:rsid w:val="00FC4101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3225"/>
  <w15:chartTrackingRefBased/>
  <w15:docId w15:val="{440F7729-A1C4-45C8-9C93-5895885C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CCF"/>
    <w:pPr>
      <w:suppressAutoHyphens/>
      <w:spacing w:after="0" w:line="240" w:lineRule="auto"/>
    </w:pPr>
    <w:rPr>
      <w:rFonts w:eastAsia="Times New Roman" w:cs="Times New Roman"/>
      <w:szCs w:val="20"/>
      <w:lang w:eastAsia="zh-CN"/>
    </w:rPr>
  </w:style>
  <w:style w:type="paragraph" w:styleId="Heading1">
    <w:name w:val="heading 1"/>
    <w:basedOn w:val="Normal"/>
    <w:next w:val="BodyText"/>
    <w:link w:val="Heading1Char"/>
    <w:qFormat/>
    <w:rsid w:val="006261CD"/>
    <w:pPr>
      <w:keepNext/>
      <w:keepLines/>
      <w:tabs>
        <w:tab w:val="left" w:pos="851"/>
        <w:tab w:val="right" w:pos="9356"/>
      </w:tabs>
      <w:spacing w:before="120" w:after="60"/>
      <w:outlineLvl w:val="0"/>
    </w:pPr>
    <w:rPr>
      <w:b/>
      <w:sz w:val="28"/>
    </w:rPr>
  </w:style>
  <w:style w:type="paragraph" w:styleId="Heading2">
    <w:name w:val="heading 2"/>
    <w:basedOn w:val="Heading1"/>
    <w:next w:val="BodyText"/>
    <w:link w:val="Heading2Char"/>
    <w:qFormat/>
    <w:rsid w:val="006261CD"/>
    <w:pPr>
      <w:numPr>
        <w:ilvl w:val="1"/>
      </w:numPr>
      <w:suppressAutoHyphens w:val="0"/>
      <w:spacing w:before="60"/>
      <w:outlineLvl w:val="1"/>
    </w:pPr>
    <w:rPr>
      <w:bCs/>
      <w:iCs/>
      <w:sz w:val="24"/>
      <w:szCs w:val="22"/>
    </w:rPr>
  </w:style>
  <w:style w:type="paragraph" w:styleId="Heading3">
    <w:name w:val="heading 3"/>
    <w:basedOn w:val="Heading2"/>
    <w:next w:val="BodyText"/>
    <w:link w:val="Heading3Char"/>
    <w:qFormat/>
    <w:rsid w:val="00E914DC"/>
    <w:pPr>
      <w:numPr>
        <w:ilvl w:val="2"/>
      </w:numPr>
      <w:outlineLvl w:val="2"/>
    </w:pPr>
    <w:rPr>
      <w:rFonts w:eastAsiaTheme="majorEastAsia" w:cstheme="majorBidi"/>
      <w:bCs w:val="0"/>
    </w:rPr>
  </w:style>
  <w:style w:type="paragraph" w:styleId="Heading4">
    <w:name w:val="heading 4"/>
    <w:basedOn w:val="Heading3"/>
    <w:next w:val="BodyText"/>
    <w:link w:val="Heading4Char"/>
    <w:qFormat/>
    <w:rsid w:val="00841486"/>
    <w:pPr>
      <w:numPr>
        <w:ilvl w:val="3"/>
      </w:numPr>
      <w:outlineLvl w:val="3"/>
    </w:pPr>
    <w:rPr>
      <w:rFonts w:eastAsia="Times New Roman" w:cs="Times New Roman"/>
      <w:b w:val="0"/>
      <w:bCs/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k">
    <w:name w:val="Ack"/>
    <w:basedOn w:val="Normal"/>
    <w:link w:val="AckChar"/>
    <w:uiPriority w:val="8"/>
    <w:unhideWhenUsed/>
    <w:qFormat/>
    <w:rsid w:val="00E914DC"/>
    <w:pPr>
      <w:tabs>
        <w:tab w:val="left" w:pos="425"/>
        <w:tab w:val="left" w:pos="851"/>
        <w:tab w:val="right" w:pos="9356"/>
      </w:tabs>
    </w:pPr>
    <w:rPr>
      <w:rFonts w:ascii="Times New Roman" w:eastAsia="Calibri" w:hAnsi="Times New Roman"/>
      <w:noProof/>
      <w:sz w:val="20"/>
      <w:lang w:eastAsia="en-GB"/>
    </w:rPr>
  </w:style>
  <w:style w:type="character" w:customStyle="1" w:styleId="AckChar">
    <w:name w:val="Ack Char"/>
    <w:basedOn w:val="DefaultParagraphFont"/>
    <w:link w:val="Ack"/>
    <w:uiPriority w:val="8"/>
    <w:rsid w:val="00BF5BC6"/>
    <w:rPr>
      <w:rFonts w:ascii="Times New Roman" w:eastAsia="Calibri" w:hAnsi="Times New Roman" w:cs="Times New Roman"/>
      <w:noProof/>
      <w:sz w:val="20"/>
      <w:szCs w:val="20"/>
      <w:lang w:eastAsia="en-GB"/>
    </w:rPr>
  </w:style>
  <w:style w:type="paragraph" w:styleId="BodyText">
    <w:name w:val="Body Text"/>
    <w:basedOn w:val="Normal"/>
    <w:link w:val="BodyTextChar"/>
    <w:qFormat/>
    <w:rsid w:val="008949A6"/>
    <w:pPr>
      <w:tabs>
        <w:tab w:val="left" w:pos="851"/>
        <w:tab w:val="right" w:pos="9356"/>
      </w:tabs>
      <w:spacing w:before="120" w:after="12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rsid w:val="008949A6"/>
    <w:rPr>
      <w:rFonts w:ascii="Calibri" w:eastAsia="Calibri" w:hAnsi="Calibri" w:cs="Times New Roman"/>
      <w:szCs w:val="20"/>
      <w:lang w:eastAsia="zh-CN"/>
    </w:rPr>
  </w:style>
  <w:style w:type="paragraph" w:customStyle="1" w:styleId="BodySingle">
    <w:name w:val="BodySingle"/>
    <w:basedOn w:val="BodyText"/>
    <w:link w:val="BodySingleChar"/>
    <w:qFormat/>
    <w:rsid w:val="00E914DC"/>
    <w:pPr>
      <w:tabs>
        <w:tab w:val="left" w:pos="425"/>
      </w:tabs>
      <w:spacing w:before="0" w:after="0"/>
    </w:pPr>
  </w:style>
  <w:style w:type="character" w:customStyle="1" w:styleId="BodySingleChar">
    <w:name w:val="BodySingle Char"/>
    <w:basedOn w:val="BodyTextChar"/>
    <w:link w:val="BodySingle"/>
    <w:rsid w:val="00E914DC"/>
    <w:rPr>
      <w:rFonts w:ascii="Times New Roman" w:eastAsia="Calibri" w:hAnsi="Times New Roman" w:cs="Times New Roman"/>
      <w:szCs w:val="20"/>
      <w:lang w:eastAsia="zh-CN"/>
    </w:rPr>
  </w:style>
  <w:style w:type="paragraph" w:styleId="Caption">
    <w:name w:val="caption"/>
    <w:basedOn w:val="BodyText"/>
    <w:next w:val="BodyText"/>
    <w:unhideWhenUsed/>
    <w:qFormat/>
    <w:rsid w:val="00841486"/>
    <w:pPr>
      <w:tabs>
        <w:tab w:val="left" w:pos="425"/>
      </w:tabs>
    </w:pPr>
    <w:rPr>
      <w:rFonts w:asciiTheme="minorHAnsi" w:hAnsiTheme="minorHAnsi"/>
      <w:b/>
      <w:bCs/>
      <w:sz w:val="24"/>
      <w:szCs w:val="18"/>
    </w:rPr>
  </w:style>
  <w:style w:type="character" w:customStyle="1" w:styleId="Heading1Char">
    <w:name w:val="Heading 1 Char"/>
    <w:basedOn w:val="DefaultParagraphFont"/>
    <w:link w:val="Heading1"/>
    <w:rsid w:val="006261CD"/>
    <w:rPr>
      <w:rFonts w:eastAsia="Times New Roman" w:cs="Times New Roman"/>
      <w:b/>
      <w:sz w:val="28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rsid w:val="006261CD"/>
    <w:rPr>
      <w:rFonts w:eastAsia="Times New Roman" w:cs="Times New Roman"/>
      <w:b/>
      <w:bCs/>
      <w:iCs/>
      <w:sz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BF5BC6"/>
    <w:rPr>
      <w:rFonts w:ascii="Times New Roman" w:eastAsiaTheme="majorEastAsia" w:hAnsi="Times New Roman" w:cstheme="majorBidi"/>
      <w:b/>
      <w:iCs/>
    </w:rPr>
  </w:style>
  <w:style w:type="character" w:customStyle="1" w:styleId="Heading4Char">
    <w:name w:val="Heading 4 Char"/>
    <w:basedOn w:val="DefaultParagraphFont"/>
    <w:link w:val="Heading4"/>
    <w:rsid w:val="00841486"/>
    <w:rPr>
      <w:rFonts w:eastAsia="Times New Roman" w:cs="Times New Roman"/>
      <w:bCs/>
      <w:i/>
      <w:sz w:val="24"/>
      <w:lang w:eastAsia="zh-CN"/>
    </w:rPr>
  </w:style>
  <w:style w:type="paragraph" w:styleId="ListBullet">
    <w:name w:val="List Bullet"/>
    <w:basedOn w:val="BodyText"/>
    <w:link w:val="ListBulletChar"/>
    <w:qFormat/>
    <w:rsid w:val="00E914DC"/>
    <w:pPr>
      <w:tabs>
        <w:tab w:val="num" w:pos="360"/>
      </w:tabs>
      <w:spacing w:before="40" w:after="40"/>
      <w:ind w:hanging="425"/>
    </w:pPr>
    <w:rPr>
      <w:rFonts w:eastAsia="Times New Roman"/>
    </w:rPr>
  </w:style>
  <w:style w:type="character" w:customStyle="1" w:styleId="ListBulletChar">
    <w:name w:val="List Bullet Char"/>
    <w:basedOn w:val="BodyTextChar"/>
    <w:link w:val="ListBullet"/>
    <w:rsid w:val="00E914DC"/>
    <w:rPr>
      <w:rFonts w:ascii="Times New Roman" w:eastAsia="Times New Roman" w:hAnsi="Times New Roman" w:cs="Times New Roman"/>
      <w:szCs w:val="20"/>
      <w:lang w:eastAsia="zh-CN"/>
    </w:rPr>
  </w:style>
  <w:style w:type="paragraph" w:styleId="ListBullet2">
    <w:name w:val="List Bullet 2"/>
    <w:basedOn w:val="BodyText"/>
    <w:link w:val="ListBullet2Char"/>
    <w:qFormat/>
    <w:rsid w:val="00E914DC"/>
    <w:pPr>
      <w:tabs>
        <w:tab w:val="clear" w:pos="851"/>
        <w:tab w:val="left" w:pos="1276"/>
      </w:tabs>
      <w:spacing w:before="40" w:after="40"/>
      <w:ind w:left="1276" w:hanging="425"/>
    </w:pPr>
    <w:rPr>
      <w:rFonts w:eastAsia="Times New Roman"/>
    </w:rPr>
  </w:style>
  <w:style w:type="character" w:customStyle="1" w:styleId="ListBullet2Char">
    <w:name w:val="List Bullet 2 Char"/>
    <w:basedOn w:val="BodyTextChar"/>
    <w:link w:val="ListBullet2"/>
    <w:rsid w:val="00E914DC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ListPara">
    <w:name w:val="List Para"/>
    <w:basedOn w:val="BodyText"/>
    <w:link w:val="ListParaChar"/>
    <w:qFormat/>
    <w:rsid w:val="00E914DC"/>
    <w:pPr>
      <w:tabs>
        <w:tab w:val="left" w:pos="426"/>
      </w:tabs>
      <w:ind w:left="851"/>
    </w:pPr>
  </w:style>
  <w:style w:type="character" w:customStyle="1" w:styleId="ListParaChar">
    <w:name w:val="List Para Char"/>
    <w:basedOn w:val="BodyTextChar"/>
    <w:link w:val="ListPara"/>
    <w:rsid w:val="00E914DC"/>
    <w:rPr>
      <w:rFonts w:ascii="Times New Roman" w:eastAsia="Calibri" w:hAnsi="Times New Roman" w:cs="Times New Roman"/>
      <w:szCs w:val="20"/>
      <w:lang w:eastAsia="zh-CN"/>
    </w:rPr>
  </w:style>
  <w:style w:type="paragraph" w:customStyle="1" w:styleId="ListPara2">
    <w:name w:val="List Para 2"/>
    <w:basedOn w:val="ListPara"/>
    <w:link w:val="ListPara2Char"/>
    <w:uiPriority w:val="7"/>
    <w:unhideWhenUsed/>
    <w:qFormat/>
    <w:rsid w:val="00E914DC"/>
    <w:pPr>
      <w:ind w:left="1276"/>
    </w:pPr>
  </w:style>
  <w:style w:type="character" w:customStyle="1" w:styleId="ListPara2Char">
    <w:name w:val="List Para 2 Char"/>
    <w:basedOn w:val="ListParaChar"/>
    <w:link w:val="ListPara2"/>
    <w:uiPriority w:val="7"/>
    <w:rsid w:val="00BF5BC6"/>
    <w:rPr>
      <w:rFonts w:ascii="Times New Roman" w:eastAsia="Calibri" w:hAnsi="Times New Roman" w:cs="Times New Roman"/>
      <w:szCs w:val="20"/>
      <w:lang w:eastAsia="zh-CN"/>
    </w:rPr>
  </w:style>
  <w:style w:type="paragraph" w:styleId="Subtitle">
    <w:name w:val="Subtitle"/>
    <w:basedOn w:val="Normal"/>
    <w:next w:val="BodyText"/>
    <w:link w:val="SubtitleChar"/>
    <w:uiPriority w:val="6"/>
    <w:rsid w:val="00E914DC"/>
    <w:pPr>
      <w:keepNext/>
      <w:keepLines/>
      <w:tabs>
        <w:tab w:val="left" w:pos="425"/>
        <w:tab w:val="left" w:pos="851"/>
        <w:tab w:val="right" w:pos="9356"/>
      </w:tabs>
      <w:jc w:val="center"/>
    </w:pPr>
    <w:rPr>
      <w:rFonts w:ascii="Times New Roman" w:hAnsi="Times New Roman"/>
      <w:b/>
      <w:sz w:val="24"/>
      <w:szCs w:val="24"/>
      <w:u w:val="single"/>
      <w:lang w:eastAsia="ar-SA"/>
    </w:rPr>
  </w:style>
  <w:style w:type="character" w:customStyle="1" w:styleId="SubtitleChar">
    <w:name w:val="Subtitle Char"/>
    <w:basedOn w:val="DefaultParagraphFont"/>
    <w:link w:val="Subtitle"/>
    <w:uiPriority w:val="6"/>
    <w:rsid w:val="00BF5BC6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paragraph" w:styleId="Title">
    <w:name w:val="Title"/>
    <w:basedOn w:val="Normal"/>
    <w:next w:val="BodyText"/>
    <w:link w:val="TitleChar"/>
    <w:uiPriority w:val="5"/>
    <w:qFormat/>
    <w:rsid w:val="00E914DC"/>
    <w:pPr>
      <w:tabs>
        <w:tab w:val="left" w:pos="425"/>
        <w:tab w:val="left" w:pos="851"/>
        <w:tab w:val="right" w:pos="9356"/>
      </w:tabs>
      <w:spacing w:before="60" w:after="60"/>
      <w:jc w:val="center"/>
      <w:outlineLvl w:val="0"/>
    </w:pPr>
    <w:rPr>
      <w:rFonts w:ascii="Times New Roman" w:hAnsi="Times New Roman"/>
      <w:b/>
      <w:kern w:val="28"/>
      <w:sz w:val="28"/>
      <w:u w:val="single"/>
    </w:rPr>
  </w:style>
  <w:style w:type="character" w:customStyle="1" w:styleId="TitleChar">
    <w:name w:val="Title Char"/>
    <w:basedOn w:val="DefaultParagraphFont"/>
    <w:link w:val="Title"/>
    <w:uiPriority w:val="5"/>
    <w:rsid w:val="00BF5BC6"/>
    <w:rPr>
      <w:rFonts w:ascii="Times New Roman" w:eastAsia="Times New Roman" w:hAnsi="Times New Roman" w:cs="Times New Roman"/>
      <w:b/>
      <w:kern w:val="28"/>
      <w:sz w:val="28"/>
      <w:szCs w:val="2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14DC"/>
    <w:pPr>
      <w:tabs>
        <w:tab w:val="clear" w:pos="851"/>
      </w:tabs>
      <w:suppressAutoHyphens w:val="0"/>
      <w:spacing w:before="480" w:after="0"/>
      <w:outlineLvl w:val="9"/>
    </w:pPr>
    <w:rPr>
      <w:rFonts w:ascii="Cambria" w:hAnsi="Cambria"/>
      <w:bCs/>
      <w:color w:val="365F91"/>
      <w:szCs w:val="28"/>
    </w:rPr>
  </w:style>
  <w:style w:type="paragraph" w:styleId="NormalWeb">
    <w:name w:val="Normal (Web)"/>
    <w:basedOn w:val="Normal"/>
    <w:rsid w:val="002E4A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1710</Characters>
  <Application>Microsoft Office Word</Application>
  <DocSecurity>0</DocSecurity>
  <Lines>49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 review of the TC 174 current &amp; future work</vt:lpstr>
      <vt:lpstr>    Jonathan J. Jodry</vt:lpstr>
      <vt:lpstr>        Metalor Technologies, Switzerland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Lily Fraser</cp:lastModifiedBy>
  <cp:revision>4</cp:revision>
  <dcterms:created xsi:type="dcterms:W3CDTF">2026-06-01T14:06:00Z</dcterms:created>
  <dcterms:modified xsi:type="dcterms:W3CDTF">2026-06-01T14:08:00Z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287dfa49-0860-4675-8ae1-75d4c7644f0e</vt:lpwstr>
  </property>
</Properties>
</file>